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4C" w:rsidRPr="008F41E2" w:rsidRDefault="003A0A4C" w:rsidP="00586EDF">
      <w:pPr>
        <w:pStyle w:val="Web"/>
        <w:spacing w:beforeLines="100" w:before="360" w:beforeAutospacing="0" w:line="500" w:lineRule="exact"/>
        <w:jc w:val="center"/>
        <w:rPr>
          <w:rFonts w:ascii="標楷體" w:eastAsia="標楷體" w:hAnsi="標楷體"/>
          <w:b/>
          <w:bCs/>
          <w:color w:val="666666"/>
          <w:sz w:val="40"/>
          <w:szCs w:val="40"/>
        </w:rPr>
      </w:pPr>
      <w:r w:rsidRPr="008F41E2">
        <w:rPr>
          <w:rFonts w:ascii="標楷體" w:eastAsia="標楷體" w:hAnsi="標楷體" w:hint="eastAsia"/>
          <w:b/>
          <w:bCs/>
          <w:color w:val="666666"/>
          <w:sz w:val="40"/>
          <w:szCs w:val="40"/>
        </w:rPr>
        <w:t>國立</w:t>
      </w:r>
      <w:proofErr w:type="gramStart"/>
      <w:r w:rsidR="00F01375" w:rsidRPr="008F41E2">
        <w:rPr>
          <w:rFonts w:ascii="標楷體" w:eastAsia="標楷體" w:hAnsi="標楷體" w:hint="eastAsia"/>
          <w:b/>
          <w:bCs/>
          <w:color w:val="666666"/>
          <w:sz w:val="40"/>
          <w:szCs w:val="40"/>
        </w:rPr>
        <w:t>臺</w:t>
      </w:r>
      <w:proofErr w:type="gramEnd"/>
      <w:r w:rsidRPr="008F41E2">
        <w:rPr>
          <w:rFonts w:ascii="標楷體" w:eastAsia="標楷體" w:hAnsi="標楷體" w:hint="eastAsia"/>
          <w:b/>
          <w:bCs/>
          <w:color w:val="666666"/>
          <w:sz w:val="40"/>
          <w:szCs w:val="40"/>
        </w:rPr>
        <w:t>北商業大學</w:t>
      </w:r>
      <w:proofErr w:type="gramStart"/>
      <w:r w:rsidR="00091C05" w:rsidRPr="008F41E2">
        <w:rPr>
          <w:rFonts w:ascii="標楷體" w:eastAsia="標楷體" w:hAnsi="標楷體" w:hint="eastAsia"/>
          <w:b/>
          <w:bCs/>
          <w:color w:val="666666"/>
          <w:sz w:val="40"/>
          <w:szCs w:val="40"/>
        </w:rPr>
        <w:t>學務</w:t>
      </w:r>
      <w:proofErr w:type="gramEnd"/>
      <w:r w:rsidR="00091C05" w:rsidRPr="008F41E2">
        <w:rPr>
          <w:rFonts w:ascii="標楷體" w:eastAsia="標楷體" w:hAnsi="標楷體" w:hint="eastAsia"/>
          <w:b/>
          <w:bCs/>
          <w:color w:val="666666"/>
          <w:sz w:val="40"/>
          <w:szCs w:val="40"/>
        </w:rPr>
        <w:t>處</w:t>
      </w:r>
      <w:r w:rsidR="004179E6" w:rsidRPr="008F41E2">
        <w:rPr>
          <w:rFonts w:ascii="標楷體" w:eastAsia="標楷體" w:hAnsi="標楷體" w:hint="eastAsia"/>
          <w:b/>
          <w:bCs/>
          <w:color w:val="666666"/>
          <w:sz w:val="40"/>
          <w:szCs w:val="40"/>
        </w:rPr>
        <w:t>&lt;</w:t>
      </w:r>
      <w:r w:rsidR="00091C05" w:rsidRPr="008F41E2">
        <w:rPr>
          <w:rFonts w:ascii="標楷體" w:eastAsia="標楷體" w:hAnsi="標楷體" w:hint="eastAsia"/>
          <w:b/>
          <w:bCs/>
          <w:color w:val="666666"/>
          <w:sz w:val="40"/>
          <w:szCs w:val="40"/>
        </w:rPr>
        <w:t>進修學制</w:t>
      </w:r>
      <w:r w:rsidR="004179E6" w:rsidRPr="008F41E2">
        <w:rPr>
          <w:rFonts w:ascii="標楷體" w:eastAsia="標楷體" w:hAnsi="標楷體" w:hint="eastAsia"/>
          <w:b/>
          <w:bCs/>
          <w:color w:val="666666"/>
          <w:sz w:val="40"/>
          <w:szCs w:val="40"/>
        </w:rPr>
        <w:t>&gt;</w:t>
      </w:r>
      <w:r w:rsidRPr="008F41E2">
        <w:rPr>
          <w:rFonts w:ascii="標楷體" w:eastAsia="標楷體" w:hAnsi="標楷體" w:hint="eastAsia"/>
          <w:b/>
          <w:bCs/>
          <w:color w:val="666666"/>
          <w:sz w:val="40"/>
          <w:szCs w:val="40"/>
        </w:rPr>
        <w:t>業務暨人員編制</w:t>
      </w:r>
    </w:p>
    <w:p w:rsidR="008822AE" w:rsidRPr="00D16C4F" w:rsidRDefault="00091C05" w:rsidP="008D2201">
      <w:pPr>
        <w:pStyle w:val="Web"/>
        <w:spacing w:beforeLines="100" w:before="360" w:beforeAutospacing="0" w:afterLines="50" w:after="180" w:afterAutospacing="0" w:line="480" w:lineRule="exact"/>
        <w:rPr>
          <w:rFonts w:ascii="標楷體" w:eastAsia="標楷體" w:hAnsi="標楷體"/>
          <w:b/>
          <w:color w:val="666666"/>
          <w:sz w:val="28"/>
          <w:szCs w:val="28"/>
        </w:rPr>
      </w:pPr>
      <w:r w:rsidRPr="00D16C4F">
        <w:rPr>
          <w:rStyle w:val="a4"/>
          <w:rFonts w:ascii="標楷體" w:eastAsia="標楷體" w:hAnsi="標楷體" w:cs="Times New Roman" w:hint="eastAsia"/>
          <w:bCs w:val="0"/>
          <w:sz w:val="32"/>
          <w:szCs w:val="32"/>
        </w:rPr>
        <w:t>本學制</w:t>
      </w:r>
      <w:r w:rsidR="008822AE" w:rsidRPr="00D16C4F">
        <w:rPr>
          <w:rStyle w:val="a4"/>
          <w:rFonts w:ascii="標楷體" w:eastAsia="標楷體" w:hAnsi="標楷體" w:cs="Times New Roman" w:hint="eastAsia"/>
          <w:bCs w:val="0"/>
          <w:sz w:val="32"/>
          <w:szCs w:val="32"/>
        </w:rPr>
        <w:t>負責業務範圍涵蓋生活輔導、學生軍訓、活動集會</w:t>
      </w:r>
      <w:r w:rsidR="008822AE" w:rsidRPr="00D16C4F">
        <w:rPr>
          <w:rStyle w:val="a4"/>
          <w:rFonts w:ascii="標楷體" w:eastAsia="標楷體" w:hAnsi="標楷體" w:cs="Times New Roman" w:hint="eastAsia"/>
          <w:sz w:val="32"/>
          <w:szCs w:val="32"/>
        </w:rPr>
        <w:t>、學生心理輔導、獎助學金</w:t>
      </w:r>
      <w:r w:rsidR="00457DC3" w:rsidRPr="00D16C4F">
        <w:rPr>
          <w:rStyle w:val="a4"/>
          <w:rFonts w:ascii="標楷體" w:eastAsia="標楷體" w:hAnsi="標楷體" w:cs="Times New Roman" w:hint="eastAsia"/>
          <w:sz w:val="32"/>
          <w:szCs w:val="32"/>
        </w:rPr>
        <w:t>、學生社團、導師業務及操行相關會議、兵役、</w:t>
      </w:r>
      <w:r w:rsidR="00D16C4F" w:rsidRPr="00D16C4F">
        <w:rPr>
          <w:rStyle w:val="a4"/>
          <w:rFonts w:ascii="標楷體" w:eastAsia="標楷體" w:hAnsi="標楷體" w:cs="Times New Roman" w:hint="eastAsia"/>
          <w:sz w:val="32"/>
          <w:szCs w:val="32"/>
        </w:rPr>
        <w:t>辦公室用品、器材、</w:t>
      </w:r>
      <w:r w:rsidR="008822AE" w:rsidRPr="00D16C4F">
        <w:rPr>
          <w:rStyle w:val="a4"/>
          <w:rFonts w:ascii="標楷體" w:eastAsia="標楷體" w:hAnsi="標楷體" w:cs="Times New Roman" w:hint="eastAsia"/>
          <w:sz w:val="28"/>
          <w:szCs w:val="28"/>
        </w:rPr>
        <w:t>學生急難救助、</w:t>
      </w:r>
      <w:r w:rsidR="00F01375" w:rsidRPr="00D16C4F">
        <w:rPr>
          <w:rStyle w:val="a4"/>
          <w:rFonts w:ascii="標楷體" w:eastAsia="標楷體" w:hAnsi="標楷體" w:cs="Times New Roman" w:hint="eastAsia"/>
          <w:sz w:val="28"/>
          <w:szCs w:val="28"/>
        </w:rPr>
        <w:t>學生就學貸款、</w:t>
      </w:r>
      <w:r w:rsidR="008822AE" w:rsidRPr="00D16C4F">
        <w:rPr>
          <w:rStyle w:val="a4"/>
          <w:rFonts w:ascii="標楷體" w:eastAsia="標楷體" w:hAnsi="標楷體" w:cs="Times New Roman" w:hint="eastAsia"/>
          <w:sz w:val="28"/>
          <w:szCs w:val="28"/>
        </w:rPr>
        <w:t>缺</w:t>
      </w:r>
      <w:proofErr w:type="gramStart"/>
      <w:r w:rsidR="008822AE" w:rsidRPr="00D16C4F">
        <w:rPr>
          <w:rStyle w:val="a4"/>
          <w:rFonts w:ascii="標楷體" w:eastAsia="標楷體" w:hAnsi="標楷體" w:cs="Times New Roman" w:hint="eastAsia"/>
          <w:sz w:val="28"/>
          <w:szCs w:val="28"/>
        </w:rPr>
        <w:t>曠</w:t>
      </w:r>
      <w:proofErr w:type="gramEnd"/>
      <w:r w:rsidR="008822AE" w:rsidRPr="00D16C4F">
        <w:rPr>
          <w:rStyle w:val="a4"/>
          <w:rFonts w:ascii="標楷體" w:eastAsia="標楷體" w:hAnsi="標楷體" w:cs="Times New Roman" w:hint="eastAsia"/>
          <w:sz w:val="28"/>
          <w:szCs w:val="28"/>
        </w:rPr>
        <w:t>業務、學生休、退學、操行成績統計及</w:t>
      </w:r>
      <w:r w:rsidR="008822AE" w:rsidRPr="005571BB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獎懲</w:t>
      </w:r>
      <w:r w:rsidR="008822AE" w:rsidRPr="00D16C4F">
        <w:rPr>
          <w:rStyle w:val="a4"/>
          <w:rFonts w:ascii="標楷體" w:eastAsia="標楷體" w:hAnsi="標楷體" w:cs="Times New Roman" w:hint="eastAsia"/>
          <w:sz w:val="28"/>
          <w:szCs w:val="28"/>
        </w:rPr>
        <w:t>登記及公佈、就業資訊、企業徵才、學生平安保險、</w:t>
      </w:r>
      <w:r w:rsidR="00F01375" w:rsidRPr="00D16C4F">
        <w:rPr>
          <w:rStyle w:val="a4"/>
          <w:rFonts w:ascii="標楷體" w:eastAsia="標楷體" w:hAnsi="標楷體" w:cs="Times New Roman" w:hint="eastAsia"/>
          <w:sz w:val="28"/>
          <w:szCs w:val="28"/>
        </w:rPr>
        <w:t>兼職護士、</w:t>
      </w:r>
      <w:r w:rsidR="008822AE" w:rsidRPr="00D16C4F">
        <w:rPr>
          <w:rStyle w:val="a4"/>
          <w:rFonts w:ascii="標楷體" w:eastAsia="標楷體" w:hAnsi="標楷體" w:cs="Times New Roman" w:hint="eastAsia"/>
          <w:sz w:val="28"/>
          <w:szCs w:val="28"/>
        </w:rPr>
        <w:t>電腦網</w:t>
      </w:r>
      <w:r w:rsidR="008822AE" w:rsidRPr="008F41E2">
        <w:rPr>
          <w:rStyle w:val="a4"/>
          <w:rFonts w:ascii="標楷體" w:eastAsia="標楷體" w:hAnsi="標楷體" w:cs="Times New Roman" w:hint="eastAsia"/>
          <w:sz w:val="28"/>
          <w:szCs w:val="28"/>
        </w:rPr>
        <w:t>頁</w:t>
      </w:r>
      <w:r w:rsidR="00F01375" w:rsidRPr="008F41E2">
        <w:rPr>
          <w:rStyle w:val="a4"/>
          <w:rFonts w:ascii="標楷體" w:eastAsia="標楷體" w:hAnsi="標楷體" w:cs="Times New Roman" w:hint="eastAsia"/>
          <w:sz w:val="28"/>
          <w:szCs w:val="28"/>
        </w:rPr>
        <w:t>維護</w:t>
      </w:r>
      <w:r w:rsidR="008822AE" w:rsidRPr="008F41E2">
        <w:rPr>
          <w:rStyle w:val="a4"/>
          <w:rFonts w:ascii="標楷體" w:eastAsia="標楷體" w:hAnsi="標楷體" w:cs="Times New Roman" w:hint="eastAsia"/>
          <w:sz w:val="28"/>
          <w:szCs w:val="28"/>
        </w:rPr>
        <w:t>等學</w:t>
      </w:r>
      <w:proofErr w:type="gramStart"/>
      <w:r w:rsidR="008822AE" w:rsidRPr="008F41E2">
        <w:rPr>
          <w:rStyle w:val="a4"/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="008822AE" w:rsidRPr="008F41E2">
        <w:rPr>
          <w:rStyle w:val="a4"/>
          <w:rFonts w:ascii="標楷體" w:eastAsia="標楷體" w:hAnsi="標楷體" w:cs="Times New Roman" w:hint="eastAsia"/>
          <w:sz w:val="28"/>
          <w:szCs w:val="28"/>
        </w:rPr>
        <w:t>工作</w:t>
      </w:r>
      <w:r w:rsidR="008822AE" w:rsidRPr="008F41E2">
        <w:rPr>
          <w:rStyle w:val="a4"/>
          <w:rFonts w:ascii="標楷體" w:eastAsia="標楷體" w:hAnsi="標楷體" w:cs="Times New Roman" w:hint="eastAsia"/>
          <w:sz w:val="32"/>
          <w:szCs w:val="32"/>
        </w:rPr>
        <w:t>。</w:t>
      </w:r>
    </w:p>
    <w:p w:rsidR="008822AE" w:rsidRPr="008F41E2" w:rsidRDefault="00091C05" w:rsidP="00586EDF">
      <w:pPr>
        <w:pStyle w:val="Web"/>
        <w:spacing w:beforeLines="50" w:before="180" w:beforeAutospacing="0" w:afterLines="50" w:after="180" w:afterAutospacing="0" w:line="400" w:lineRule="exact"/>
        <w:rPr>
          <w:rStyle w:val="a4"/>
          <w:rFonts w:ascii="標楷體" w:eastAsia="標楷體" w:hAnsi="標楷體" w:cs="Times New Roman"/>
          <w:bCs w:val="0"/>
          <w:sz w:val="28"/>
          <w:szCs w:val="28"/>
        </w:rPr>
      </w:pPr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學</w:t>
      </w:r>
      <w:proofErr w:type="gramStart"/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務</w:t>
      </w:r>
      <w:proofErr w:type="gramEnd"/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處進修學制</w:t>
      </w:r>
      <w:r w:rsidR="008822AE"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人員配置:</w:t>
      </w:r>
      <w:r w:rsidR="006E7E24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組員</w:t>
      </w:r>
      <w:r w:rsidR="008822AE"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1人，約雇事務員1人。</w:t>
      </w:r>
    </w:p>
    <w:p w:rsidR="008822AE" w:rsidRPr="008F41E2" w:rsidRDefault="008822AE" w:rsidP="00586EDF">
      <w:pPr>
        <w:pStyle w:val="Web"/>
        <w:spacing w:beforeLines="50" w:before="180" w:beforeAutospacing="0" w:afterLines="50" w:after="180" w:afterAutospacing="0" w:line="400" w:lineRule="exact"/>
        <w:rPr>
          <w:rStyle w:val="a4"/>
          <w:rFonts w:ascii="標楷體" w:eastAsia="標楷體" w:hAnsi="標楷體" w:cs="Times New Roman"/>
          <w:bCs w:val="0"/>
          <w:sz w:val="28"/>
          <w:szCs w:val="28"/>
        </w:rPr>
      </w:pPr>
      <w:proofErr w:type="gramStart"/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本組上班</w:t>
      </w:r>
      <w:proofErr w:type="gramEnd"/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時間：</w:t>
      </w:r>
    </w:p>
    <w:p w:rsidR="008822AE" w:rsidRPr="008F41E2" w:rsidRDefault="008822AE" w:rsidP="00586EDF">
      <w:pPr>
        <w:pStyle w:val="Web"/>
        <w:spacing w:beforeLines="50" w:before="180" w:beforeAutospacing="0" w:afterLines="50" w:after="180" w:afterAutospacing="0" w:line="400" w:lineRule="exact"/>
        <w:rPr>
          <w:rStyle w:val="a4"/>
          <w:rFonts w:ascii="標楷體" w:eastAsia="標楷體" w:hAnsi="標楷體" w:cs="Times New Roman"/>
          <w:bCs w:val="0"/>
          <w:sz w:val="28"/>
          <w:szCs w:val="28"/>
        </w:rPr>
      </w:pPr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1.週一至週五 13：30 ~ 22：00</w:t>
      </w:r>
    </w:p>
    <w:p w:rsidR="008822AE" w:rsidRPr="008F41E2" w:rsidRDefault="008822AE" w:rsidP="00586EDF">
      <w:pPr>
        <w:pStyle w:val="Web"/>
        <w:spacing w:beforeLines="50" w:before="180" w:beforeAutospacing="0" w:afterLines="50" w:after="180" w:afterAutospacing="0" w:line="400" w:lineRule="exact"/>
        <w:rPr>
          <w:rStyle w:val="a4"/>
          <w:rFonts w:ascii="標楷體" w:eastAsia="標楷體" w:hAnsi="標楷體" w:cs="Times New Roman"/>
          <w:bCs w:val="0"/>
          <w:sz w:val="28"/>
          <w:szCs w:val="28"/>
        </w:rPr>
      </w:pPr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2.週六 8:</w:t>
      </w:r>
      <w:r w:rsidR="00F01375"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0</w:t>
      </w:r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 xml:space="preserve">0 ~ </w:t>
      </w:r>
      <w:r w:rsidR="00F01375"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20</w:t>
      </w:r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:</w:t>
      </w:r>
      <w:r w:rsidR="00F01375"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0</w:t>
      </w:r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0(</w:t>
      </w:r>
      <w:proofErr w:type="gramStart"/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採</w:t>
      </w:r>
      <w:proofErr w:type="gramEnd"/>
      <w:r w:rsidRPr="008F41E2">
        <w:rPr>
          <w:rStyle w:val="a4"/>
          <w:rFonts w:ascii="標楷體" w:eastAsia="標楷體" w:hAnsi="標楷體" w:cs="Times New Roman" w:hint="eastAsia"/>
          <w:bCs w:val="0"/>
          <w:sz w:val="28"/>
          <w:szCs w:val="28"/>
        </w:rPr>
        <w:t>輪值方式，視情況調整)</w:t>
      </w:r>
    </w:p>
    <w:p w:rsidR="008822AE" w:rsidRPr="008822AE" w:rsidRDefault="008822AE" w:rsidP="008822AE">
      <w:pPr>
        <w:widowControl/>
        <w:pBdr>
          <w:bottom w:val="single" w:sz="6" w:space="1" w:color="auto"/>
        </w:pBdr>
        <w:jc w:val="center"/>
        <w:rPr>
          <w:rFonts w:asciiTheme="minorEastAsia" w:hAnsiTheme="minorEastAsia" w:cs="Arial"/>
          <w:b/>
          <w:vanish/>
          <w:kern w:val="0"/>
          <w:sz w:val="28"/>
          <w:szCs w:val="28"/>
        </w:rPr>
      </w:pPr>
      <w:r w:rsidRPr="008822AE">
        <w:rPr>
          <w:rFonts w:asciiTheme="minorEastAsia" w:hAnsiTheme="minorEastAsia" w:cs="Arial" w:hint="eastAsia"/>
          <w:b/>
          <w:vanish/>
          <w:kern w:val="0"/>
          <w:sz w:val="28"/>
          <w:szCs w:val="28"/>
        </w:rPr>
        <w:t>表單的頂端</w:t>
      </w:r>
    </w:p>
    <w:tbl>
      <w:tblPr>
        <w:tblpPr w:leftFromText="180" w:rightFromText="180" w:topFromText="100" w:bottomFromText="100" w:vertAnchor="text" w:tblpX="108"/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68"/>
        <w:gridCol w:w="2782"/>
        <w:gridCol w:w="126"/>
        <w:gridCol w:w="3140"/>
      </w:tblGrid>
      <w:tr w:rsidR="00A542F0" w:rsidRPr="00EA6331" w:rsidTr="008D2201">
        <w:trPr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8822AE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職    稱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6E7E24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Style w:val="a4"/>
                <w:rFonts w:ascii="標楷體" w:eastAsia="標楷體" w:hAnsi="標楷體" w:cs="Times New Roman" w:hint="eastAsia"/>
                <w:bCs w:val="0"/>
                <w:sz w:val="28"/>
                <w:szCs w:val="28"/>
              </w:rPr>
              <w:t>組員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8822AE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姓  名</w:t>
            </w:r>
            <w:r w:rsidR="00F161C6"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6E7E24">
              <w:rPr>
                <w:rStyle w:val="a4"/>
                <w:rFonts w:ascii="標楷體" w:eastAsia="標楷體" w:hAnsi="標楷體" w:cs="Times New Roman" w:hint="eastAsia"/>
                <w:bCs w:val="0"/>
                <w:sz w:val="28"/>
                <w:szCs w:val="28"/>
              </w:rPr>
              <w:t>葉柔妘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A542F0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職務代理人</w:t>
            </w:r>
            <w:r w:rsidR="00F161C6"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F161C6">
              <w:rPr>
                <w:rFonts w:asciiTheme="minorEastAsia" w:hAnsiTheme="minorEastAsia" w:hint="eastAsia"/>
                <w:b/>
                <w:sz w:val="28"/>
                <w:szCs w:val="28"/>
              </w:rPr>
              <w:t>李漢瑜</w:t>
            </w:r>
          </w:p>
        </w:tc>
      </w:tr>
      <w:tr w:rsidR="00F161C6" w:rsidRPr="00EA6331" w:rsidTr="000058B8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(02)2322-6252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355B8F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E-mail</w:t>
            </w:r>
            <w:r w:rsidR="00457DC3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r w:rsidR="006E7E24">
              <w:rPr>
                <w:rFonts w:asciiTheme="minorEastAsia" w:hAnsiTheme="minorEastAsia" w:hint="eastAsia"/>
                <w:b/>
                <w:sz w:val="28"/>
                <w:szCs w:val="28"/>
              </w:rPr>
              <w:t>juoyun@ntub.edu.tw</w:t>
            </w:r>
          </w:p>
        </w:tc>
      </w:tr>
      <w:tr w:rsidR="008822AE" w:rsidRPr="008822AE" w:rsidTr="008D2201">
        <w:trPr>
          <w:trHeight w:val="7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AE" w:rsidRPr="008822AE" w:rsidRDefault="008822AE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業務職掌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F0" w:rsidRPr="00D16C4F" w:rsidRDefault="00A542F0" w:rsidP="006754D1">
            <w:pPr>
              <w:widowControl/>
              <w:spacing w:beforeLines="50" w:before="180" w:afterLines="50" w:after="180"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一、會計資訊系</w:t>
            </w:r>
            <w:r w:rsidR="00D16C4F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、財政稅務系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、國際商務系、應用外語</w:t>
            </w:r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缺</w:t>
            </w:r>
            <w:proofErr w:type="gramStart"/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曠</w:t>
            </w:r>
            <w:proofErr w:type="gramEnd"/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業務及學生休、退學、操行成績統計及獎懲登記及生活輔導</w:t>
            </w:r>
            <w:r w:rsidR="00956033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等相關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業務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A542F0" w:rsidRPr="00D16C4F" w:rsidRDefault="00A542F0" w:rsidP="000058B8">
            <w:pPr>
              <w:widowControl/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二、辦理新生訓練業務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A542F0" w:rsidRPr="00D16C4F" w:rsidRDefault="00A542F0" w:rsidP="000058B8">
            <w:pPr>
              <w:widowControl/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三、辦理學生社團</w:t>
            </w:r>
            <w:r w:rsidR="006E7E24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6E7E24">
              <w:rPr>
                <w:rFonts w:ascii="標楷體" w:eastAsia="標楷體" w:hAnsi="標楷體" w:hint="eastAsia"/>
                <w:b/>
                <w:sz w:val="28"/>
                <w:szCs w:val="28"/>
              </w:rPr>
              <w:t>班級活動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綜合業務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A542F0" w:rsidRPr="00D16C4F" w:rsidRDefault="00A542F0" w:rsidP="000058B8">
            <w:pPr>
              <w:widowControl/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四、調查役齡學生申請緩徵等及後備軍人等兵役相關事務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16C4F" w:rsidRDefault="00A542F0" w:rsidP="000058B8">
            <w:pPr>
              <w:widowControl/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五、工讀生之管理與考核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A542F0" w:rsidRPr="00D16C4F" w:rsidRDefault="00A542F0" w:rsidP="000058B8">
            <w:pPr>
              <w:widowControl/>
              <w:spacing w:beforeLines="50" w:before="180" w:afterLines="50" w:after="180"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六、</w:t>
            </w:r>
            <w:r w:rsidR="006E7E24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辦理學生個別及團體心理輔導。</w:t>
            </w:r>
          </w:p>
          <w:p w:rsidR="006E7E24" w:rsidRDefault="00A542F0" w:rsidP="006E7E24">
            <w:pPr>
              <w:widowControl/>
              <w:spacing w:beforeLines="50" w:before="180" w:afterLines="50" w:after="180" w:line="3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七、</w:t>
            </w:r>
            <w:r w:rsidR="006E7E24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辦理大專校院弱勢學生助學計畫、學生獎助學金</w:t>
            </w:r>
            <w:r w:rsidR="006A4672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等事宜</w:t>
            </w:r>
            <w:r w:rsidR="006A467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A542F0" w:rsidRPr="00D16C4F" w:rsidRDefault="00A542F0" w:rsidP="000058B8">
            <w:pPr>
              <w:widowControl/>
              <w:spacing w:beforeLines="50" w:before="180" w:afterLines="50" w:after="180" w:line="3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八、</w:t>
            </w:r>
            <w:r w:rsidR="006E7E24">
              <w:rPr>
                <w:rFonts w:ascii="標楷體" w:eastAsia="標楷體" w:hAnsi="標楷體" w:hint="eastAsia"/>
                <w:b/>
                <w:sz w:val="28"/>
                <w:szCs w:val="28"/>
              </w:rPr>
              <w:t>學雜費減免</w:t>
            </w:r>
            <w:r w:rsidR="006E7E24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Pr="00D16C4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A542F0" w:rsidRPr="00D16C4F" w:rsidRDefault="00A542F0" w:rsidP="000058B8">
            <w:pPr>
              <w:widowControl/>
              <w:spacing w:beforeLines="50" w:before="180" w:afterLines="50" w:after="180" w:line="3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九、導師業務及操行相關會議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A542F0" w:rsidRPr="00D16C4F" w:rsidRDefault="00A542F0" w:rsidP="000058B8">
            <w:pPr>
              <w:widowControl/>
              <w:spacing w:beforeLines="50" w:before="180" w:afterLines="50" w:after="180" w:line="3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十、辦理</w:t>
            </w:r>
            <w:r w:rsidR="001C65E7">
              <w:rPr>
                <w:rFonts w:ascii="標楷體" w:eastAsia="標楷體" w:hAnsi="標楷體" w:hint="eastAsia"/>
                <w:b/>
                <w:sz w:val="28"/>
                <w:szCs w:val="28"/>
              </w:rPr>
              <w:t>交通安全宣導相關事宜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16C4F" w:rsidRPr="00D16C4F" w:rsidRDefault="00D16C4F" w:rsidP="000058B8">
            <w:pPr>
              <w:widowControl/>
              <w:spacing w:beforeLines="50" w:before="180" w:afterLines="50" w:after="180" w:line="3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十一、財產維修、採購等相關事務</w:t>
            </w:r>
            <w:r w:rsidRPr="00D16C4F">
              <w:rPr>
                <w:rFonts w:ascii="標楷體" w:eastAsia="標楷體" w:hAnsi="標楷體"/>
                <w:b/>
                <w:sz w:val="28"/>
                <w:szCs w:val="28"/>
              </w:rPr>
              <w:t> 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16C4F" w:rsidRPr="008822AE" w:rsidRDefault="00A542F0" w:rsidP="000058B8">
            <w:pPr>
              <w:widowControl/>
              <w:spacing w:beforeLines="50" w:before="180" w:afterLines="50" w:after="180" w:line="300" w:lineRule="exact"/>
              <w:ind w:left="561" w:hangingChars="200" w:hanging="56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D16C4F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、其它臨時交辦事項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A90B5E" w:rsidRPr="00EA6331" w:rsidTr="004A5A63">
        <w:trPr>
          <w:trHeight w:val="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B5E" w:rsidRPr="00EA6331" w:rsidRDefault="00A90B5E" w:rsidP="004A5A63">
            <w:pPr>
              <w:widowControl/>
              <w:spacing w:line="2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B5E" w:rsidRPr="00EA6331" w:rsidRDefault="00A90B5E" w:rsidP="004A5A63">
            <w:pPr>
              <w:widowControl/>
              <w:spacing w:line="2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B5E" w:rsidRPr="00EA6331" w:rsidRDefault="00A90B5E" w:rsidP="004A5A63">
            <w:pPr>
              <w:widowControl/>
              <w:spacing w:line="2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1F7" w:rsidRPr="00EA6331" w:rsidRDefault="005F51F7" w:rsidP="004A5A63">
            <w:pPr>
              <w:widowControl/>
              <w:spacing w:line="2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161C6" w:rsidRPr="00EA6331" w:rsidTr="000058B8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職    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約</w:t>
            </w:r>
            <w:proofErr w:type="gramStart"/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僱</w:t>
            </w:r>
            <w:proofErr w:type="gramEnd"/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事務員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姓  名  李漢瑜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6E7E24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職務代理人 </w:t>
            </w:r>
            <w:r w:rsidR="006E7E24">
              <w:rPr>
                <w:rStyle w:val="a4"/>
                <w:rFonts w:ascii="標楷體" w:eastAsia="標楷體" w:hAnsi="標楷體" w:cs="Times New Roman" w:hint="eastAsia"/>
                <w:bCs w:val="0"/>
                <w:sz w:val="28"/>
                <w:szCs w:val="28"/>
              </w:rPr>
              <w:t>葉柔</w:t>
            </w:r>
            <w:proofErr w:type="gramStart"/>
            <w:r w:rsidR="006E7E24">
              <w:rPr>
                <w:rStyle w:val="a4"/>
                <w:rFonts w:ascii="標楷體" w:eastAsia="標楷體" w:hAnsi="標楷體" w:cs="Times New Roman" w:hint="eastAsia"/>
                <w:bCs w:val="0"/>
                <w:sz w:val="28"/>
                <w:szCs w:val="28"/>
              </w:rPr>
              <w:t>妘</w:t>
            </w:r>
            <w:proofErr w:type="gramEnd"/>
          </w:p>
        </w:tc>
      </w:tr>
      <w:tr w:rsidR="00F161C6" w:rsidRPr="00EA6331" w:rsidTr="00C360A7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(02)2322-</w:t>
            </w:r>
            <w:r w:rsidRPr="00F161C6">
              <w:rPr>
                <w:rFonts w:asciiTheme="minorEastAsia" w:hAnsiTheme="minorEastAsia" w:hint="eastAsia"/>
                <w:b/>
                <w:sz w:val="28"/>
                <w:szCs w:val="28"/>
              </w:rPr>
              <w:t>6245</w:t>
            </w:r>
          </w:p>
        </w:tc>
        <w:tc>
          <w:tcPr>
            <w:tcW w:w="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AE" w:rsidRPr="008822AE" w:rsidRDefault="00F161C6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E-mail</w:t>
            </w:r>
            <w:r w:rsidR="00457DC3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hyperlink r:id="rId7" w:history="1">
              <w:r w:rsidRPr="00851D47">
                <w:rPr>
                  <w:rFonts w:asciiTheme="minorEastAsia" w:hAnsiTheme="minorEastAsia" w:hint="eastAsia"/>
                  <w:b/>
                  <w:sz w:val="28"/>
                  <w:szCs w:val="28"/>
                </w:rPr>
                <w:t>leehanyu@ntub.edu.tw</w:t>
              </w:r>
            </w:hyperlink>
          </w:p>
        </w:tc>
      </w:tr>
      <w:tr w:rsidR="008822AE" w:rsidRPr="008822AE" w:rsidTr="00C360A7">
        <w:trPr>
          <w:trHeight w:val="7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AE" w:rsidRPr="008822AE" w:rsidRDefault="008822AE" w:rsidP="00C360A7">
            <w:pPr>
              <w:widowControl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6331">
              <w:rPr>
                <w:rFonts w:asciiTheme="minorEastAsia" w:hAnsiTheme="minorEastAsia" w:hint="eastAsia"/>
                <w:b/>
                <w:sz w:val="28"/>
                <w:szCs w:val="28"/>
              </w:rPr>
              <w:t>業務職掌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一、綜理資訊管理系、企業管理系</w:t>
            </w:r>
            <w:r w:rsidR="00D16C4F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、財務金融系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proofErr w:type="gramStart"/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碩專</w:t>
            </w:r>
            <w:proofErr w:type="gramEnd"/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、學士學程及學生操行成績統計及各系科學生休、退學及獎懲登記、公佈</w:t>
            </w:r>
            <w:r w:rsidR="004E62D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及生活輔導等相關業務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二、綜理學生就學貸款</w:t>
            </w:r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各項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申請、送件教育部、台北富邦銀行各相關單位等及期末學生書籍</w:t>
            </w:r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費、生活費等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退費各項相關業務</w:t>
            </w:r>
            <w:r w:rsidRPr="00D16C4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三、綜理學生急難救助金申請各項相關業務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四、綜理承辦學生</w:t>
            </w:r>
            <w:r w:rsidR="00BF5488"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平安保險業務暨學生申請保險理賠等各項相關業務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五、綜理學生提供就業資訊與職</w:t>
            </w:r>
            <w:proofErr w:type="gramStart"/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涯</w:t>
            </w:r>
            <w:proofErr w:type="gramEnd"/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諮詢、就業</w:t>
            </w:r>
            <w:r w:rsidR="00586EDF">
              <w:rPr>
                <w:rFonts w:ascii="標楷體" w:eastAsia="標楷體" w:hAnsi="標楷體" w:hint="eastAsia"/>
                <w:b/>
                <w:sz w:val="28"/>
                <w:szCs w:val="28"/>
              </w:rPr>
              <w:t>諮詢</w:t>
            </w:r>
            <w:r w:rsidR="00586EDF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輔導等各項相關業務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六、綜理企業徵才公告及在校生校外工讀業務、</w:t>
            </w:r>
            <w:r w:rsidR="00381F2A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就業問卷調</w:t>
            </w:r>
            <w:r w:rsidR="00381F2A">
              <w:rPr>
                <w:rFonts w:ascii="標楷體" w:eastAsia="標楷體" w:hAnsi="標楷體" w:hint="eastAsia"/>
                <w:b/>
                <w:sz w:val="28"/>
                <w:szCs w:val="28"/>
              </w:rPr>
              <w:t>查</w:t>
            </w: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回函統計及各項學生就業資訊統計等各項相關業務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七、</w:t>
            </w:r>
            <w:proofErr w:type="gramStart"/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本組電腦</w:t>
            </w:r>
            <w:proofErr w:type="gramEnd"/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網頁維護等相關各項相關業務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八、財產管理</w:t>
            </w:r>
            <w:r w:rsidR="00BF5488">
              <w:rPr>
                <w:rFonts w:ascii="標楷體" w:eastAsia="標楷體" w:hAnsi="標楷體" w:hint="eastAsia"/>
                <w:b/>
                <w:sz w:val="28"/>
                <w:szCs w:val="28"/>
              </w:rPr>
              <w:t>等相關事宜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九、</w:t>
            </w:r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綜理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處進修學制</w:t>
            </w:r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兼職護</w:t>
            </w:r>
            <w:r w:rsidR="005571BB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proofErr w:type="gramStart"/>
            <w:r w:rsidR="005571BB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簽聘</w:t>
            </w:r>
            <w:proofErr w:type="gramEnd"/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proofErr w:type="gramStart"/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鐘點費報支</w:t>
            </w:r>
            <w:proofErr w:type="gramEnd"/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十、</w:t>
            </w:r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綜理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處進修學制</w:t>
            </w:r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資訊上網公告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64335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</w:t>
            </w:r>
            <w:r w:rsidR="00655E58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公文收發及歸檔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822AE" w:rsidRPr="00D16C4F" w:rsidRDefault="00064335" w:rsidP="00C360A7">
            <w:pPr>
              <w:widowControl/>
              <w:spacing w:beforeLines="50" w:before="180" w:afterLines="50" w:after="180" w:line="40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十二、其它臨時交辦事項</w:t>
            </w:r>
            <w:r w:rsidR="00F01375" w:rsidRPr="00D16C4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8822AE" w:rsidRPr="008822AE" w:rsidRDefault="008822AE" w:rsidP="00EA6331">
      <w:pPr>
        <w:widowControl/>
        <w:spacing w:line="400" w:lineRule="exact"/>
        <w:rPr>
          <w:rFonts w:asciiTheme="minorEastAsia" w:hAnsiTheme="minorEastAsia"/>
          <w:b/>
          <w:sz w:val="28"/>
          <w:szCs w:val="28"/>
        </w:rPr>
      </w:pPr>
    </w:p>
    <w:sectPr w:rsidR="008822AE" w:rsidRPr="008822AE" w:rsidSect="00C360A7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0B" w:rsidRDefault="00BE260B" w:rsidP="00EA6331">
      <w:r>
        <w:separator/>
      </w:r>
    </w:p>
  </w:endnote>
  <w:endnote w:type="continuationSeparator" w:id="0">
    <w:p w:rsidR="00BE260B" w:rsidRDefault="00BE260B" w:rsidP="00EA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0B" w:rsidRDefault="00BE260B" w:rsidP="00EA6331">
      <w:r>
        <w:separator/>
      </w:r>
    </w:p>
  </w:footnote>
  <w:footnote w:type="continuationSeparator" w:id="0">
    <w:p w:rsidR="00BE260B" w:rsidRDefault="00BE260B" w:rsidP="00EA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E5"/>
    <w:rsid w:val="000058B8"/>
    <w:rsid w:val="000562BC"/>
    <w:rsid w:val="00064335"/>
    <w:rsid w:val="00091C05"/>
    <w:rsid w:val="000D2692"/>
    <w:rsid w:val="00117F1B"/>
    <w:rsid w:val="00150880"/>
    <w:rsid w:val="001C65E7"/>
    <w:rsid w:val="001E5ECE"/>
    <w:rsid w:val="00223719"/>
    <w:rsid w:val="00292864"/>
    <w:rsid w:val="00293588"/>
    <w:rsid w:val="002B5579"/>
    <w:rsid w:val="002D4D46"/>
    <w:rsid w:val="00355B8F"/>
    <w:rsid w:val="00381F2A"/>
    <w:rsid w:val="003A0A4C"/>
    <w:rsid w:val="003C3E26"/>
    <w:rsid w:val="004119AD"/>
    <w:rsid w:val="004179E6"/>
    <w:rsid w:val="004335DF"/>
    <w:rsid w:val="00457DC3"/>
    <w:rsid w:val="004601A2"/>
    <w:rsid w:val="004A5A63"/>
    <w:rsid w:val="004E62D5"/>
    <w:rsid w:val="00546578"/>
    <w:rsid w:val="00551F87"/>
    <w:rsid w:val="005571BB"/>
    <w:rsid w:val="00580BDB"/>
    <w:rsid w:val="00586EDF"/>
    <w:rsid w:val="005F51F7"/>
    <w:rsid w:val="00610150"/>
    <w:rsid w:val="00655E58"/>
    <w:rsid w:val="006624C8"/>
    <w:rsid w:val="006754D1"/>
    <w:rsid w:val="00697ABE"/>
    <w:rsid w:val="006A4672"/>
    <w:rsid w:val="006D5536"/>
    <w:rsid w:val="006E7E24"/>
    <w:rsid w:val="00720DA9"/>
    <w:rsid w:val="0076447F"/>
    <w:rsid w:val="007D1C8E"/>
    <w:rsid w:val="007E5381"/>
    <w:rsid w:val="00851D47"/>
    <w:rsid w:val="008822AE"/>
    <w:rsid w:val="008C4B4F"/>
    <w:rsid w:val="008D2201"/>
    <w:rsid w:val="008F1BE5"/>
    <w:rsid w:val="008F41E2"/>
    <w:rsid w:val="00956033"/>
    <w:rsid w:val="00974507"/>
    <w:rsid w:val="00997365"/>
    <w:rsid w:val="00A51CF7"/>
    <w:rsid w:val="00A542F0"/>
    <w:rsid w:val="00A54B65"/>
    <w:rsid w:val="00A90B5E"/>
    <w:rsid w:val="00A9167C"/>
    <w:rsid w:val="00AB51B8"/>
    <w:rsid w:val="00B265BE"/>
    <w:rsid w:val="00BE260B"/>
    <w:rsid w:val="00BF5488"/>
    <w:rsid w:val="00C33E38"/>
    <w:rsid w:val="00C360A7"/>
    <w:rsid w:val="00C478A7"/>
    <w:rsid w:val="00D11381"/>
    <w:rsid w:val="00D16C4F"/>
    <w:rsid w:val="00D72D2B"/>
    <w:rsid w:val="00D76C4F"/>
    <w:rsid w:val="00DB7556"/>
    <w:rsid w:val="00E75ABB"/>
    <w:rsid w:val="00E977AC"/>
    <w:rsid w:val="00EA6331"/>
    <w:rsid w:val="00EF236A"/>
    <w:rsid w:val="00EF583D"/>
    <w:rsid w:val="00F01375"/>
    <w:rsid w:val="00F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F1B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F1B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BE5"/>
  </w:style>
  <w:style w:type="character" w:styleId="a4">
    <w:name w:val="Strong"/>
    <w:basedOn w:val="a0"/>
    <w:uiPriority w:val="22"/>
    <w:qFormat/>
    <w:rsid w:val="008F1BE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22A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822A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22A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822AE"/>
    <w:rPr>
      <w:rFonts w:ascii="Arial" w:eastAsia="新細明體" w:hAnsi="Arial" w:cs="Arial"/>
      <w:vanish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3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3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4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41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F1B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F1B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BE5"/>
  </w:style>
  <w:style w:type="character" w:styleId="a4">
    <w:name w:val="Strong"/>
    <w:basedOn w:val="a0"/>
    <w:uiPriority w:val="22"/>
    <w:qFormat/>
    <w:rsid w:val="008F1BE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22A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822A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22A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822AE"/>
    <w:rPr>
      <w:rFonts w:ascii="Arial" w:eastAsia="新細明體" w:hAnsi="Arial" w:cs="Arial"/>
      <w:vanish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3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6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3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4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4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550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hanyu@ntub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NTCB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北商</dc:creator>
  <cp:lastModifiedBy>admin</cp:lastModifiedBy>
  <cp:revision>2</cp:revision>
  <cp:lastPrinted>2018-04-25T08:31:00Z</cp:lastPrinted>
  <dcterms:created xsi:type="dcterms:W3CDTF">2018-06-25T06:45:00Z</dcterms:created>
  <dcterms:modified xsi:type="dcterms:W3CDTF">2018-06-25T06:45:00Z</dcterms:modified>
</cp:coreProperties>
</file>